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0D70AC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0D70AC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0D70AC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0D70AC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0D70A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0D70A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0D70A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0D70A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D70AC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0D70AC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0D70AC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0D70A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0D70AC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0D70A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0D70A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0D70A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0D70AC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0D70AC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0D70AC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0D70AC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D70A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0D70AC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D70AC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0D70A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0D70A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3CDD2E8A" w:rsidR="00A63536" w:rsidRPr="000D70AC" w:rsidRDefault="000D70AC" w:rsidP="00171CE0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DokumendiKuupäev"/>
                <w:tag w:val="DokumendiKuupäev"/>
                <w:id w:val="1368417732"/>
                <w:date w:fullDate="2026-04-09T10:08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50233" w:rsidRPr="000D70AC">
                  <w:rPr>
                    <w:rFonts w:ascii="Times New Roman"/>
                    <w:sz w:val="24"/>
                  </w:rPr>
                  <w:t>09.04.2026</w:t>
                </w:r>
              </w:sdtContent>
            </w:sdt>
            <w:r w:rsidR="004A3E3C" w:rsidRPr="000D70A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</w:tcPr>
          <w:p w14:paraId="69FE98CF" w14:textId="77777777" w:rsidR="00A63536" w:rsidRPr="000D70A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0D70AC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0D70AC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0D70AC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3CDD8505" w:rsidR="00A63536" w:rsidRPr="000D70AC" w:rsidRDefault="000D70AC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KohtuasjaNumber"/>
                <w:tag w:val="KohtuasjaNumber"/>
                <w:id w:val="571320426"/>
                <w:text/>
              </w:sdtPr>
              <w:sdtEndPr/>
              <w:sdtContent>
                <w:r w:rsidR="00850233" w:rsidRPr="000D70AC">
                  <w:rPr>
                    <w:rFonts w:ascii="Times New Roman"/>
                    <w:sz w:val="24"/>
                  </w:rPr>
                  <w:t>2-25-16400</w:t>
                </w:r>
              </w:sdtContent>
            </w:sdt>
          </w:p>
        </w:tc>
      </w:tr>
    </w:tbl>
    <w:p w14:paraId="315AA7B5" w14:textId="77777777" w:rsidR="00C67D99" w:rsidRPr="000D70AC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0D70AC" w:rsidRDefault="00300C90" w:rsidP="00300C90">
      <w:pPr>
        <w:rPr>
          <w:rFonts w:cs="Arial"/>
          <w:szCs w:val="20"/>
        </w:rPr>
      </w:pPr>
    </w:p>
    <w:p w14:paraId="2DD7EFBD" w14:textId="77777777" w:rsidR="00A63536" w:rsidRPr="000D70AC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0D70AC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0D70AC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0D70AC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0D70AC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0D70AC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0D70AC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0D70AC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0D70AC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0D70AC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4E2D606F" w14:textId="65A589F0" w:rsidR="00A252B8" w:rsidRPr="000D70AC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  <w:r w:rsidR="0096368F"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0D70AC"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Minimasin OÜ</w:t>
      </w:r>
      <w:r w:rsidR="00C349D9"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A63536"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reg</w:t>
      </w:r>
      <w:r w:rsidR="000D70AC"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istri</w:t>
      </w:r>
      <w:r w:rsidR="00A63536"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kood</w:t>
      </w:r>
      <w:r w:rsidR="000D70AC"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0D70AC" w:rsidRPr="000D70AC">
        <w:rPr>
          <w:rFonts w:ascii="Times New Roman" w:hAnsi="Times New Roman" w:cs="Times New Roman"/>
          <w:b/>
          <w:bCs/>
          <w:color w:val="000000" w:themeColor="text1"/>
          <w:sz w:val="24"/>
        </w:rPr>
        <w:t>14352211</w:t>
      </w:r>
      <w:r w:rsidR="00E76539"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0D70AC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6CA75E39" w:rsidR="00335C87" w:rsidRPr="000D70AC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r w:rsidR="000D70AC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Minimasin OÜ</w:t>
      </w:r>
      <w:r w:rsidR="00B076AA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pankrotiavaldus</w:t>
      </w: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sdt>
        <w:sdtPr>
          <w:rPr>
            <w:rFonts w:ascii="Times New Roman" w:hAnsi="Times New Roman" w:cs="Times New Roman"/>
            <w:sz w:val="24"/>
          </w:rPr>
          <w:alias w:val="KohtuasjaNumber"/>
          <w:tag w:val="KohtuasjaNumber"/>
          <w:id w:val="-1021163321"/>
          <w:text/>
        </w:sdtPr>
        <w:sdtEndPr/>
        <w:sdtContent>
          <w:r w:rsidRPr="000D70AC">
            <w:rPr>
              <w:rFonts w:ascii="Times New Roman"/>
              <w:sz w:val="24"/>
            </w:rPr>
            <w:t>2-25-16400</w:t>
          </w:r>
        </w:sdtContent>
      </w:sdt>
      <w:r w:rsidR="00C349D9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0D70AC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17</w:t>
      </w: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5A7AA7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märts</w:t>
      </w:r>
      <w:r w:rsidR="00AA0C30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(PankrS) § 30 lg 1 alusel pankrotiavalduse menetluse raugemise vältimiseks deposiidina makstava summa suuruseks </w:t>
      </w:r>
      <w:r w:rsidR="000D70AC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5000</w:t>
      </w:r>
      <w:r w:rsidR="00E76539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0D70AC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2</w:t>
      </w:r>
      <w:r w:rsidR="00E76539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0D70AC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aprilli</w:t>
      </w:r>
      <w:r w:rsidR="00AA0C30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="00E76539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BA12FC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0D70AC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Minimasin OÜ</w:t>
      </w:r>
      <w:r w:rsidR="00BA12FC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0D70AC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0D70AC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r w:rsidR="00694DFE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0D70AC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õhjendatud avalduse pankrotimenetluse läbiviimiseks avaliku uurimisena, kui muul juhul pankrotiavalduse menetlus PankrS § 29 alusel raugeks</w:t>
      </w:r>
      <w:r w:rsidR="000E1118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0D70AC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798966B9" w:rsidR="00626231" w:rsidRPr="000D70AC" w:rsidRDefault="00626231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  <w:r w:rsidRPr="000D70AC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0D70AC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0D70AC">
        <w:rPr>
          <w:rFonts w:ascii="Times New Roman" w:hAnsi="Times New Roman" w:cs="Times New Roman"/>
          <w:sz w:val="24"/>
          <w:lang w:val="et-EE"/>
        </w:rPr>
        <w:t>t</w:t>
      </w:r>
      <w:r w:rsidR="003E4A62" w:rsidRPr="000D70AC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0D70AC">
        <w:rPr>
          <w:rFonts w:ascii="Times New Roman" w:hAnsi="Times New Roman" w:cs="Times New Roman"/>
          <w:sz w:val="24"/>
          <w:lang w:val="et-EE"/>
        </w:rPr>
        <w:t>t</w:t>
      </w: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30 lg 5 </w:t>
      </w:r>
      <w:r w:rsidR="003E4A62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jätmine </w:t>
      </w:r>
      <w:r w:rsidR="000D70AC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Minimasin OÜ</w:t>
      </w:r>
      <w:r w:rsidR="00BA12FC" w:rsidRPr="000D70AC">
        <w:rPr>
          <w:rFonts w:ascii="Times New Roman" w:hAnsi="Times New Roman" w:cs="Times New Roman"/>
          <w:sz w:val="24"/>
        </w:rPr>
        <w:t xml:space="preserve"> </w:t>
      </w: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läbiviimiseks avaliku uurimisena</w:t>
      </w:r>
      <w:r w:rsidR="006126DD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0D70AC"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8</w:t>
      </w:r>
      <w:r w:rsidR="006126DD"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. </w:t>
      </w:r>
      <w:r w:rsidR="000D70AC"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mail</w:t>
      </w:r>
      <w:r w:rsidR="00FD6882"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6126DD"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202</w:t>
      </w:r>
      <w:r w:rsidR="005A7AA7"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6</w:t>
      </w:r>
      <w:r w:rsidRPr="000D70AC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</w:t>
      </w:r>
    </w:p>
    <w:p w14:paraId="54E78B6B" w14:textId="77777777" w:rsidR="00E24794" w:rsidRPr="000D70AC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0D70AC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0D70AC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0D70AC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0D70AC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0D70AC">
        <w:rPr>
          <w:iCs/>
          <w:color w:val="000000" w:themeColor="text1"/>
          <w:sz w:val="24"/>
        </w:rPr>
        <w:t>(</w:t>
      </w:r>
      <w:r w:rsidR="00D04F95" w:rsidRPr="000D70AC">
        <w:rPr>
          <w:iCs/>
          <w:color w:val="000000" w:themeColor="text1"/>
          <w:sz w:val="24"/>
        </w:rPr>
        <w:t>allkirjastatud digitaalselt</w:t>
      </w:r>
      <w:r w:rsidRPr="000D70AC">
        <w:rPr>
          <w:iCs/>
          <w:color w:val="000000" w:themeColor="text1"/>
          <w:sz w:val="24"/>
        </w:rPr>
        <w:t>)</w:t>
      </w:r>
    </w:p>
    <w:p w14:paraId="078A52C5" w14:textId="77777777" w:rsidR="00A63536" w:rsidRPr="000D70AC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Berit Pool</w:t>
      </w:r>
    </w:p>
    <w:p w14:paraId="6096097C" w14:textId="2AF6FEB3" w:rsidR="00A63536" w:rsidRPr="000D70AC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juhtiv k</w:t>
      </w:r>
      <w:r w:rsidR="00A63536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0D70AC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54623FDF" w:rsidR="00A63536" w:rsidRPr="009D77CC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>5885 2924</w:t>
      </w:r>
      <w:r w:rsidR="00A63536" w:rsidRPr="000D70A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1" w:history="1">
        <w:r w:rsidR="00A63536" w:rsidRPr="000D70AC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berit.pool@kohus.ee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2"/>
      <w:footerReference w:type="default" r:id="rId13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7D6C" w14:textId="77777777" w:rsidR="00DC4CB4" w:rsidRDefault="00DC4CB4" w:rsidP="00DA1915">
      <w:r>
        <w:separator/>
      </w:r>
    </w:p>
  </w:endnote>
  <w:endnote w:type="continuationSeparator" w:id="0">
    <w:p w14:paraId="6BC79FA0" w14:textId="77777777" w:rsidR="00DC4CB4" w:rsidRDefault="00DC4CB4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8BB9" w14:textId="5B4A2527" w:rsidR="006A7648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1AD28730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51010;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1AD28730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51010;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BA56" w14:textId="77777777" w:rsidR="00DC4CB4" w:rsidRDefault="00DC4CB4" w:rsidP="00DA1915">
      <w:r>
        <w:separator/>
      </w:r>
    </w:p>
  </w:footnote>
  <w:footnote w:type="continuationSeparator" w:id="0">
    <w:p w14:paraId="4504F81F" w14:textId="77777777" w:rsidR="00DC4CB4" w:rsidRDefault="00DC4CB4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4323" w14:textId="49C840CC" w:rsidR="006A7648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0C748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791B"/>
    <w:multiLevelType w:val="multilevel"/>
    <w:tmpl w:val="72A82728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245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A575E"/>
    <w:rsid w:val="000B4F2C"/>
    <w:rsid w:val="000D70A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5713B"/>
    <w:rsid w:val="002719AB"/>
    <w:rsid w:val="002807C9"/>
    <w:rsid w:val="0028790D"/>
    <w:rsid w:val="002B3F8D"/>
    <w:rsid w:val="002D30F8"/>
    <w:rsid w:val="002E20DD"/>
    <w:rsid w:val="00300C90"/>
    <w:rsid w:val="00314962"/>
    <w:rsid w:val="00321ABD"/>
    <w:rsid w:val="00322282"/>
    <w:rsid w:val="00335C87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A1192"/>
    <w:rsid w:val="004A3C8C"/>
    <w:rsid w:val="004A3E3C"/>
    <w:rsid w:val="004A74EE"/>
    <w:rsid w:val="004C4046"/>
    <w:rsid w:val="004C4F48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90456"/>
    <w:rsid w:val="005A7AA7"/>
    <w:rsid w:val="005D371E"/>
    <w:rsid w:val="005E74ED"/>
    <w:rsid w:val="00600E3A"/>
    <w:rsid w:val="00607461"/>
    <w:rsid w:val="006126DD"/>
    <w:rsid w:val="006229BE"/>
    <w:rsid w:val="00626231"/>
    <w:rsid w:val="0062638A"/>
    <w:rsid w:val="00694DFE"/>
    <w:rsid w:val="006A7648"/>
    <w:rsid w:val="006B62DE"/>
    <w:rsid w:val="006C08A9"/>
    <w:rsid w:val="006C0F10"/>
    <w:rsid w:val="006C7357"/>
    <w:rsid w:val="006C7991"/>
    <w:rsid w:val="006D1F90"/>
    <w:rsid w:val="006E464B"/>
    <w:rsid w:val="006F7451"/>
    <w:rsid w:val="00701E7B"/>
    <w:rsid w:val="0074023F"/>
    <w:rsid w:val="00755552"/>
    <w:rsid w:val="0077360F"/>
    <w:rsid w:val="00775D5F"/>
    <w:rsid w:val="00791DB2"/>
    <w:rsid w:val="0079268C"/>
    <w:rsid w:val="007A24A3"/>
    <w:rsid w:val="007D29AC"/>
    <w:rsid w:val="007D6466"/>
    <w:rsid w:val="007E20AD"/>
    <w:rsid w:val="007E2CFA"/>
    <w:rsid w:val="007E7949"/>
    <w:rsid w:val="007F41A6"/>
    <w:rsid w:val="0081363D"/>
    <w:rsid w:val="0081754F"/>
    <w:rsid w:val="0082330A"/>
    <w:rsid w:val="008260A6"/>
    <w:rsid w:val="00850233"/>
    <w:rsid w:val="00871D88"/>
    <w:rsid w:val="00873A81"/>
    <w:rsid w:val="0088187E"/>
    <w:rsid w:val="008B1AB4"/>
    <w:rsid w:val="008C2D72"/>
    <w:rsid w:val="008F0FC9"/>
    <w:rsid w:val="008F4874"/>
    <w:rsid w:val="009259B5"/>
    <w:rsid w:val="009436D8"/>
    <w:rsid w:val="00945828"/>
    <w:rsid w:val="009465CA"/>
    <w:rsid w:val="00960E49"/>
    <w:rsid w:val="0096368F"/>
    <w:rsid w:val="00970438"/>
    <w:rsid w:val="009723CD"/>
    <w:rsid w:val="009A5C24"/>
    <w:rsid w:val="009A7A14"/>
    <w:rsid w:val="009B4DD2"/>
    <w:rsid w:val="009B7BE1"/>
    <w:rsid w:val="009D7633"/>
    <w:rsid w:val="009D77CC"/>
    <w:rsid w:val="009F3186"/>
    <w:rsid w:val="00A168AF"/>
    <w:rsid w:val="00A252B8"/>
    <w:rsid w:val="00A52E16"/>
    <w:rsid w:val="00A63536"/>
    <w:rsid w:val="00A6465E"/>
    <w:rsid w:val="00A76E30"/>
    <w:rsid w:val="00AA0C30"/>
    <w:rsid w:val="00AB5814"/>
    <w:rsid w:val="00AC3EF6"/>
    <w:rsid w:val="00AD0FE6"/>
    <w:rsid w:val="00AE65E3"/>
    <w:rsid w:val="00AF3125"/>
    <w:rsid w:val="00B076AA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A12FC"/>
    <w:rsid w:val="00BA5B49"/>
    <w:rsid w:val="00BB58B6"/>
    <w:rsid w:val="00BC0882"/>
    <w:rsid w:val="00BE1A12"/>
    <w:rsid w:val="00BF25B9"/>
    <w:rsid w:val="00BF3267"/>
    <w:rsid w:val="00C1126B"/>
    <w:rsid w:val="00C13B18"/>
    <w:rsid w:val="00C3314A"/>
    <w:rsid w:val="00C349D9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D04F95"/>
    <w:rsid w:val="00D119E1"/>
    <w:rsid w:val="00D12289"/>
    <w:rsid w:val="00D255B7"/>
    <w:rsid w:val="00D32D7F"/>
    <w:rsid w:val="00D4535F"/>
    <w:rsid w:val="00D95AC0"/>
    <w:rsid w:val="00DA1915"/>
    <w:rsid w:val="00DC4CB4"/>
    <w:rsid w:val="00E10324"/>
    <w:rsid w:val="00E115C0"/>
    <w:rsid w:val="00E129DB"/>
    <w:rsid w:val="00E24794"/>
    <w:rsid w:val="00E349D5"/>
    <w:rsid w:val="00E43222"/>
    <w:rsid w:val="00E7252F"/>
    <w:rsid w:val="00E76539"/>
    <w:rsid w:val="00E77ED0"/>
    <w:rsid w:val="00E906D6"/>
    <w:rsid w:val="00E97644"/>
    <w:rsid w:val="00EB0208"/>
    <w:rsid w:val="00EB0DA6"/>
    <w:rsid w:val="00EB6AB8"/>
    <w:rsid w:val="00EC03DA"/>
    <w:rsid w:val="00EC1F47"/>
    <w:rsid w:val="00ED24E6"/>
    <w:rsid w:val="00EE3824"/>
    <w:rsid w:val="00EE667C"/>
    <w:rsid w:val="00F14807"/>
    <w:rsid w:val="00F50AFA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it.pool@kohus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2026-03-24T13:54:00Z</dcterms:created>
  <dcterms:modified xsi:type="dcterms:W3CDTF">2026-04-09T10:10:00Z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2026-03-24T13:54:38Z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0acacdfd-4b3b-4246-aa9d-a65d25fe4bd2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